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tLeast" w:line="345" w:before="0" w:afterAutospacing="0" w:after="90"/>
        <w:jc w:val="center"/>
        <w:rPr>
          <w:rFonts w:ascii="Arial" w:hAnsi="Arial" w:cs="Arial"/>
          <w:color w:val="333333"/>
        </w:rPr>
      </w:pPr>
      <w:r>
        <w:rPr>
          <w:rStyle w:val="StrongEmphasis"/>
          <w:rFonts w:cs="Arial" w:ascii="Arial" w:hAnsi="Arial"/>
          <w:i w:val="false"/>
          <w:caps w:val="false"/>
          <w:smallCaps w:val="false"/>
          <w:color w:val="333333"/>
          <w:spacing w:val="0"/>
          <w:sz w:val="21"/>
          <w:szCs w:val="21"/>
        </w:rPr>
        <w:t>CỘNG HOÀ XÃ HỘI CHỦ NGHĨA VIỆT NAM</w:t>
      </w:r>
    </w:p>
    <w:p>
      <w:pPr>
        <w:pStyle w:val="TextBody"/>
        <w:jc w:val="center"/>
        <w:rPr>
          <w:rFonts w:ascii="Arial" w:hAnsi="Arial" w:cs="Arial"/>
          <w:color w:val="333333"/>
        </w:rPr>
      </w:pPr>
      <w:r>
        <w:rPr>
          <w:rStyle w:val="StrongEmphasis"/>
        </w:rPr>
        <w:t>Độc lập – Tự do – Hạnh phúc</w:t>
      </w:r>
    </w:p>
    <w:p>
      <w:pPr>
        <w:pStyle w:val="TextBody"/>
        <w:jc w:val="center"/>
        <w:rPr>
          <w:rFonts w:ascii="Arial" w:hAnsi="Arial" w:cs="Arial"/>
          <w:color w:val="333333"/>
        </w:rPr>
      </w:pPr>
      <w:r>
        <w:rPr/>
        <w:t>———–</w:t>
      </w:r>
    </w:p>
    <w:p>
      <w:pPr>
        <w:pStyle w:val="TextBody"/>
        <w:jc w:val="center"/>
        <w:rPr>
          <w:rFonts w:ascii="Arial" w:hAnsi="Arial" w:cs="Arial"/>
          <w:color w:val="333333"/>
        </w:rPr>
      </w:pPr>
      <w:r>
        <w:rPr>
          <w:rStyle w:val="StrongEmphasis"/>
        </w:rPr>
        <w:t>HỢP ĐỒNG KINH TẾ</w:t>
      </w:r>
    </w:p>
    <w:p>
      <w:pPr>
        <w:pStyle w:val="TextBody"/>
        <w:jc w:val="center"/>
        <w:rPr>
          <w:rFonts w:ascii="Arial" w:hAnsi="Arial" w:cs="Arial"/>
          <w:color w:val="333333"/>
        </w:rPr>
      </w:pPr>
      <w:r>
        <w:rPr/>
        <w:t>SỐ: ……./HĐMB</w:t>
      </w:r>
    </w:p>
    <w:p>
      <w:pPr>
        <w:pStyle w:val="TextBody"/>
        <w:jc w:val="both"/>
        <w:rPr>
          <w:rFonts w:ascii="Arial" w:hAnsi="Arial" w:cs="Arial"/>
          <w:color w:val="333333"/>
        </w:rPr>
      </w:pPr>
      <w:r>
        <w:rPr>
          <w:rStyle w:val="Emphasis"/>
        </w:rPr>
        <w:t>V/v Mua bán hàng hóa, cung cấp vật tư vật liệu………………………………………………………………………</w:t>
      </w:r>
    </w:p>
    <w:p>
      <w:pPr>
        <w:pStyle w:val="TextBody"/>
        <w:jc w:val="both"/>
        <w:rPr>
          <w:rFonts w:ascii="Arial" w:hAnsi="Arial" w:cs="Arial"/>
          <w:color w:val="333333"/>
        </w:rPr>
      </w:pPr>
      <w:r>
        <w:rPr>
          <w:rStyle w:val="Emphasis"/>
        </w:rPr>
        <w:t xml:space="preserve">– </w:t>
      </w:r>
      <w:r>
        <w:rPr>
          <w:rStyle w:val="Emphasis"/>
        </w:rPr>
        <w:t>Căn cứ vào Bộ Luật dân sự số 91/2015/QH13 ngày 24/11/2015;</w:t>
      </w:r>
    </w:p>
    <w:p>
      <w:pPr>
        <w:pStyle w:val="TextBody"/>
        <w:jc w:val="both"/>
        <w:rPr>
          <w:rFonts w:ascii="Arial" w:hAnsi="Arial" w:cs="Arial"/>
          <w:color w:val="333333"/>
        </w:rPr>
      </w:pPr>
      <w:r>
        <w:rPr>
          <w:rStyle w:val="Emphasis"/>
        </w:rPr>
        <w:t xml:space="preserve">– </w:t>
      </w:r>
      <w:r>
        <w:rPr>
          <w:rStyle w:val="Emphasis"/>
        </w:rPr>
        <w:t>Căn cứ Luật Thương mại số 36/2005/QH11 do Quốc hội nước Cộng Hòa Xã Hội Chủ Nghĩa Việt Nam ban hành ngày 14 tháng 6 năm 2005.</w:t>
      </w:r>
    </w:p>
    <w:p>
      <w:pPr>
        <w:pStyle w:val="TextBody"/>
        <w:jc w:val="both"/>
        <w:rPr>
          <w:rFonts w:ascii="Arial" w:hAnsi="Arial" w:cs="Arial"/>
          <w:color w:val="333333"/>
        </w:rPr>
      </w:pPr>
      <w:r>
        <w:rPr/>
        <w:t>Hôm nay, ngày ……. tháng ……. năm 20…, tại trụ sở chính CÔNG TY……………………………</w:t>
      </w:r>
      <w:r>
        <w:rPr>
          <w:rStyle w:val="Emphasis"/>
        </w:rPr>
        <w:t>………….</w:t>
      </w:r>
    </w:p>
    <w:p>
      <w:pPr>
        <w:pStyle w:val="TextBody"/>
        <w:jc w:val="both"/>
        <w:rPr>
          <w:rFonts w:ascii="Arial" w:hAnsi="Arial" w:cs="Arial"/>
          <w:color w:val="333333"/>
        </w:rPr>
      </w:pPr>
      <w:r>
        <w:rPr/>
        <w:t>Địa chỉ:………………………………………………………………………………………………………</w:t>
      </w:r>
      <w:r>
        <w:rPr>
          <w:rStyle w:val="Emphasis"/>
        </w:rPr>
        <w:t>………………………………..</w:t>
      </w:r>
    </w:p>
    <w:p>
      <w:pPr>
        <w:pStyle w:val="TextBody"/>
        <w:jc w:val="both"/>
        <w:rPr>
          <w:rFonts w:ascii="Arial" w:hAnsi="Arial" w:cs="Arial"/>
          <w:color w:val="333333"/>
        </w:rPr>
      </w:pPr>
      <w:r>
        <w:rPr>
          <w:rStyle w:val="StrongEmphasis"/>
        </w:rPr>
        <w:t>A/ Đại diện bên A:</w:t>
      </w:r>
    </w:p>
    <w:p>
      <w:pPr>
        <w:pStyle w:val="TextBody"/>
        <w:jc w:val="both"/>
        <w:rPr>
          <w:rFonts w:ascii="Arial" w:hAnsi="Arial" w:cs="Arial"/>
          <w:color w:val="333333"/>
        </w:rPr>
      </w:pPr>
      <w:r>
        <w:rPr/>
        <w:t>Bên mua:..................................................................................................................</w:t>
      </w:r>
    </w:p>
    <w:p>
      <w:pPr>
        <w:pStyle w:val="TextBody"/>
        <w:jc w:val="both"/>
        <w:rPr>
          <w:rFonts w:ascii="Arial" w:hAnsi="Arial" w:cs="Arial"/>
          <w:color w:val="333333"/>
        </w:rPr>
      </w:pPr>
      <w:r>
        <w:rPr/>
        <w:t>Địa chỉ trụ sở chính:...................................................................................................</w:t>
      </w:r>
    </w:p>
    <w:p>
      <w:pPr>
        <w:pStyle w:val="TextBody"/>
        <w:jc w:val="both"/>
        <w:rPr>
          <w:rFonts w:ascii="Arial" w:hAnsi="Arial" w:cs="Arial"/>
          <w:color w:val="333333"/>
        </w:rPr>
      </w:pPr>
      <w:r>
        <w:rPr/>
        <w:t>MST: …………..……….Điện thoại:.....................................................................................</w:t>
      </w:r>
    </w:p>
    <w:p>
      <w:pPr>
        <w:pStyle w:val="TextBody"/>
        <w:jc w:val="both"/>
        <w:rPr>
          <w:rFonts w:ascii="Arial" w:hAnsi="Arial" w:cs="Arial"/>
          <w:color w:val="333333"/>
        </w:rPr>
      </w:pPr>
      <w:r>
        <w:rPr/>
        <w:t>Đại diện: (Ông/Bà) …………………………………… Chức vụ:.......................................................</w:t>
      </w:r>
    </w:p>
    <w:p>
      <w:pPr>
        <w:pStyle w:val="TextBody"/>
        <w:jc w:val="both"/>
        <w:rPr>
          <w:rFonts w:ascii="Arial" w:hAnsi="Arial" w:cs="Arial"/>
          <w:color w:val="333333"/>
        </w:rPr>
      </w:pPr>
      <w:r>
        <w:rPr>
          <w:rStyle w:val="StrongEmphasis"/>
        </w:rPr>
        <w:t>B/ Đại diện bên B:</w:t>
      </w:r>
    </w:p>
    <w:p>
      <w:pPr>
        <w:pStyle w:val="TextBody"/>
        <w:jc w:val="both"/>
        <w:rPr>
          <w:rFonts w:ascii="Arial" w:hAnsi="Arial" w:cs="Arial"/>
          <w:color w:val="333333"/>
        </w:rPr>
      </w:pPr>
      <w:r>
        <w:rPr/>
        <w:t>Bên bán:..................................................................................................................</w:t>
      </w:r>
    </w:p>
    <w:p>
      <w:pPr>
        <w:pStyle w:val="TextBody"/>
        <w:jc w:val="both"/>
        <w:rPr>
          <w:rFonts w:ascii="Arial" w:hAnsi="Arial" w:cs="Arial"/>
          <w:color w:val="333333"/>
        </w:rPr>
      </w:pPr>
      <w:r>
        <w:rPr/>
        <w:t>Địa chỉ trụ sở chính:...................................................................................................</w:t>
      </w:r>
    </w:p>
    <w:p>
      <w:pPr>
        <w:pStyle w:val="TextBody"/>
        <w:jc w:val="both"/>
        <w:rPr>
          <w:rFonts w:ascii="Arial" w:hAnsi="Arial" w:cs="Arial"/>
          <w:color w:val="333333"/>
        </w:rPr>
      </w:pPr>
      <w:r>
        <w:rPr/>
        <w:t>MST: …………..……….Điện thoại:.....................................................................................</w:t>
      </w:r>
    </w:p>
    <w:p>
      <w:pPr>
        <w:pStyle w:val="TextBody"/>
        <w:jc w:val="both"/>
        <w:rPr>
          <w:rFonts w:ascii="Arial" w:hAnsi="Arial" w:cs="Arial"/>
          <w:color w:val="333333"/>
        </w:rPr>
      </w:pPr>
      <w:r>
        <w:rPr/>
        <w:t>Đại diện: (Ông/Bà) …………………………………… Chức vụ:.......................................................</w:t>
      </w:r>
    </w:p>
    <w:p>
      <w:pPr>
        <w:pStyle w:val="TextBody"/>
        <w:jc w:val="both"/>
        <w:rPr>
          <w:rFonts w:ascii="Arial" w:hAnsi="Arial" w:cs="Arial"/>
          <w:color w:val="333333"/>
        </w:rPr>
      </w:pPr>
      <w:r>
        <w:rPr/>
        <w:t>Hai bên cùng nhau bàn bạc thống nhất ký kết hợp đồng kinh tế với những điều khoản sau:</w:t>
      </w:r>
    </w:p>
    <w:p>
      <w:pPr>
        <w:pStyle w:val="TextBody"/>
        <w:jc w:val="both"/>
        <w:rPr>
          <w:rFonts w:ascii="Arial" w:hAnsi="Arial" w:cs="Arial"/>
          <w:color w:val="333333"/>
        </w:rPr>
      </w:pPr>
      <w:r>
        <w:rPr>
          <w:rStyle w:val="StrongEmphasis"/>
        </w:rPr>
        <w:t>Điều 1: NỘI DUNG CÔNG VIỆC</w:t>
      </w:r>
    </w:p>
    <w:p>
      <w:pPr>
        <w:pStyle w:val="TextBody"/>
        <w:jc w:val="both"/>
        <w:rPr>
          <w:rFonts w:ascii="Arial" w:hAnsi="Arial" w:cs="Arial"/>
          <w:color w:val="333333"/>
        </w:rPr>
      </w:pPr>
      <w:r>
        <w:rPr/>
        <w:t>Bên B đồng ý giao cho bên A :</w:t>
      </w:r>
    </w:p>
    <w:tbl>
      <w:tblPr>
        <w:tblW w:w="8402" w:type="dxa"/>
        <w:jc w:val="left"/>
        <w:tblInd w:w="28" w:type="dxa"/>
        <w:tblLayout w:type="fixed"/>
        <w:tblCellMar>
          <w:top w:w="28" w:type="dxa"/>
          <w:left w:w="28" w:type="dxa"/>
          <w:bottom w:w="28" w:type="dxa"/>
          <w:right w:w="28" w:type="dxa"/>
        </w:tblCellMar>
      </w:tblPr>
      <w:tblGrid>
        <w:gridCol w:w="1000"/>
        <w:gridCol w:w="941"/>
        <w:gridCol w:w="715"/>
        <w:gridCol w:w="936"/>
        <w:gridCol w:w="819"/>
        <w:gridCol w:w="2078"/>
        <w:gridCol w:w="1913"/>
      </w:tblGrid>
      <w:tr>
        <w:trPr/>
        <w:tc>
          <w:tcPr>
            <w:tcW w:w="1000" w:type="dxa"/>
            <w:tcBorders/>
            <w:vAlign w:val="center"/>
          </w:tcPr>
          <w:p>
            <w:pPr>
              <w:pStyle w:val="TableContents"/>
              <w:spacing w:before="0" w:after="200"/>
              <w:jc w:val="center"/>
              <w:rPr/>
            </w:pPr>
            <w:r>
              <w:rPr>
                <w:rStyle w:val="StrongEmphasis"/>
              </w:rPr>
              <w:t>Số thứ tự</w:t>
            </w:r>
          </w:p>
        </w:tc>
        <w:tc>
          <w:tcPr>
            <w:tcW w:w="941" w:type="dxa"/>
            <w:tcBorders/>
            <w:vAlign w:val="center"/>
          </w:tcPr>
          <w:p>
            <w:pPr>
              <w:pStyle w:val="TableContents"/>
              <w:spacing w:before="0" w:after="200"/>
              <w:jc w:val="center"/>
              <w:rPr/>
            </w:pPr>
            <w:r>
              <w:rPr>
                <w:rStyle w:val="StrongEmphasis"/>
              </w:rPr>
              <w:t>Tên hàng</w:t>
            </w:r>
          </w:p>
        </w:tc>
        <w:tc>
          <w:tcPr>
            <w:tcW w:w="715" w:type="dxa"/>
            <w:tcBorders/>
            <w:vAlign w:val="center"/>
          </w:tcPr>
          <w:p>
            <w:pPr>
              <w:pStyle w:val="TableContents"/>
              <w:spacing w:before="0" w:after="200"/>
              <w:jc w:val="center"/>
              <w:rPr/>
            </w:pPr>
            <w:r>
              <w:rPr>
                <w:rStyle w:val="StrongEmphasis"/>
              </w:rPr>
              <w:t>Đơn vị</w:t>
            </w:r>
          </w:p>
        </w:tc>
        <w:tc>
          <w:tcPr>
            <w:tcW w:w="936" w:type="dxa"/>
            <w:tcBorders/>
            <w:vAlign w:val="center"/>
          </w:tcPr>
          <w:p>
            <w:pPr>
              <w:pStyle w:val="TableContents"/>
              <w:spacing w:before="0" w:after="200"/>
              <w:jc w:val="center"/>
              <w:rPr/>
            </w:pPr>
            <w:r>
              <w:rPr>
                <w:rStyle w:val="StrongEmphasis"/>
              </w:rPr>
              <w:t>Số lượng</w:t>
            </w:r>
          </w:p>
        </w:tc>
        <w:tc>
          <w:tcPr>
            <w:tcW w:w="819" w:type="dxa"/>
            <w:tcBorders/>
            <w:vAlign w:val="center"/>
          </w:tcPr>
          <w:p>
            <w:pPr>
              <w:pStyle w:val="TableContents"/>
              <w:spacing w:before="0" w:after="200"/>
              <w:jc w:val="center"/>
              <w:rPr/>
            </w:pPr>
            <w:r>
              <w:rPr>
                <w:rStyle w:val="StrongEmphasis"/>
              </w:rPr>
              <w:t>Đơn giá</w:t>
            </w:r>
            <w:r>
              <w:rPr/>
              <w:br/>
            </w:r>
            <w:r>
              <w:rPr>
                <w:rStyle w:val="StrongEmphasis"/>
              </w:rPr>
              <w:t>(VNĐ)</w:t>
            </w:r>
          </w:p>
        </w:tc>
        <w:tc>
          <w:tcPr>
            <w:tcW w:w="2078" w:type="dxa"/>
            <w:tcBorders/>
            <w:vAlign w:val="center"/>
          </w:tcPr>
          <w:p>
            <w:pPr>
              <w:pStyle w:val="TableContents"/>
              <w:spacing w:before="0" w:after="200"/>
              <w:jc w:val="center"/>
              <w:rPr/>
            </w:pPr>
            <w:r>
              <w:rPr>
                <w:rStyle w:val="StrongEmphasis"/>
              </w:rPr>
              <w:t>Giá trước thuế (VNĐ)</w:t>
            </w:r>
          </w:p>
        </w:tc>
        <w:tc>
          <w:tcPr>
            <w:tcW w:w="1913" w:type="dxa"/>
            <w:tcBorders/>
            <w:vAlign w:val="center"/>
          </w:tcPr>
          <w:p>
            <w:pPr>
              <w:pStyle w:val="TableContents"/>
              <w:spacing w:before="0" w:after="200"/>
              <w:jc w:val="center"/>
              <w:rPr/>
            </w:pPr>
            <w:r>
              <w:rPr>
                <w:rStyle w:val="StrongEmphasis"/>
              </w:rPr>
              <w:t>Giá sau thuế (VNĐ)</w:t>
            </w:r>
          </w:p>
        </w:tc>
      </w:tr>
      <w:tr>
        <w:trPr/>
        <w:tc>
          <w:tcPr>
            <w:tcW w:w="1000" w:type="dxa"/>
            <w:tcBorders/>
            <w:vAlign w:val="center"/>
          </w:tcPr>
          <w:p>
            <w:pPr>
              <w:pStyle w:val="TableContents"/>
              <w:spacing w:before="0" w:after="200"/>
              <w:jc w:val="center"/>
              <w:rPr/>
            </w:pPr>
            <w:r>
              <w:rPr/>
              <w:t>1.</w:t>
            </w:r>
          </w:p>
        </w:tc>
        <w:tc>
          <w:tcPr>
            <w:tcW w:w="941" w:type="dxa"/>
            <w:tcBorders/>
            <w:vAlign w:val="center"/>
          </w:tcPr>
          <w:p>
            <w:pPr>
              <w:pStyle w:val="TableContents"/>
              <w:widowControl w:val="false"/>
              <w:suppressLineNumbers/>
              <w:spacing w:before="0" w:after="200"/>
              <w:rPr/>
            </w:pPr>
            <w:r>
              <w:rPr/>
              <w:t> </w:t>
            </w:r>
          </w:p>
        </w:tc>
        <w:tc>
          <w:tcPr>
            <w:tcW w:w="715" w:type="dxa"/>
            <w:tcBorders/>
            <w:vAlign w:val="center"/>
          </w:tcPr>
          <w:p>
            <w:pPr>
              <w:pStyle w:val="TableContents"/>
              <w:widowControl w:val="false"/>
              <w:suppressLineNumbers/>
              <w:spacing w:before="0" w:after="200"/>
              <w:rPr/>
            </w:pPr>
            <w:r>
              <w:rPr/>
              <w:t> </w:t>
            </w:r>
          </w:p>
        </w:tc>
        <w:tc>
          <w:tcPr>
            <w:tcW w:w="936" w:type="dxa"/>
            <w:tcBorders/>
            <w:vAlign w:val="center"/>
          </w:tcPr>
          <w:p>
            <w:pPr>
              <w:pStyle w:val="TableContents"/>
              <w:widowControl w:val="false"/>
              <w:suppressLineNumbers/>
              <w:spacing w:before="0" w:after="200"/>
              <w:rPr/>
            </w:pPr>
            <w:r>
              <w:rPr/>
              <w:t> </w:t>
            </w:r>
          </w:p>
        </w:tc>
        <w:tc>
          <w:tcPr>
            <w:tcW w:w="819" w:type="dxa"/>
            <w:tcBorders/>
            <w:vAlign w:val="center"/>
          </w:tcPr>
          <w:p>
            <w:pPr>
              <w:pStyle w:val="TableContents"/>
              <w:widowControl w:val="false"/>
              <w:suppressLineNumbers/>
              <w:spacing w:before="0" w:after="200"/>
              <w:rPr/>
            </w:pPr>
            <w:r>
              <w:rPr/>
              <w:t> </w:t>
            </w:r>
          </w:p>
        </w:tc>
        <w:tc>
          <w:tcPr>
            <w:tcW w:w="2078" w:type="dxa"/>
            <w:tcBorders/>
            <w:vAlign w:val="center"/>
          </w:tcPr>
          <w:p>
            <w:pPr>
              <w:pStyle w:val="TableContents"/>
              <w:widowControl w:val="false"/>
              <w:suppressLineNumbers/>
              <w:spacing w:before="0" w:after="200"/>
              <w:rPr/>
            </w:pPr>
            <w:r>
              <w:rPr/>
              <w:t> </w:t>
            </w:r>
          </w:p>
        </w:tc>
        <w:tc>
          <w:tcPr>
            <w:tcW w:w="1913" w:type="dxa"/>
            <w:tcBorders/>
            <w:vAlign w:val="center"/>
          </w:tcPr>
          <w:p>
            <w:pPr>
              <w:pStyle w:val="TableContents"/>
              <w:widowControl w:val="false"/>
              <w:suppressLineNumbers/>
              <w:spacing w:before="0" w:after="200"/>
              <w:rPr/>
            </w:pPr>
            <w:r>
              <w:rPr/>
              <w:t> </w:t>
            </w:r>
          </w:p>
        </w:tc>
      </w:tr>
      <w:tr>
        <w:trPr/>
        <w:tc>
          <w:tcPr>
            <w:tcW w:w="1000" w:type="dxa"/>
            <w:tcBorders/>
            <w:vAlign w:val="center"/>
          </w:tcPr>
          <w:p>
            <w:pPr>
              <w:pStyle w:val="TableContents"/>
              <w:spacing w:before="0" w:after="200"/>
              <w:jc w:val="center"/>
              <w:rPr/>
            </w:pPr>
            <w:r>
              <w:rPr/>
              <w:t>2.</w:t>
            </w:r>
          </w:p>
        </w:tc>
        <w:tc>
          <w:tcPr>
            <w:tcW w:w="941" w:type="dxa"/>
            <w:tcBorders/>
            <w:vAlign w:val="center"/>
          </w:tcPr>
          <w:p>
            <w:pPr>
              <w:pStyle w:val="TableContents"/>
              <w:widowControl w:val="false"/>
              <w:suppressLineNumbers/>
              <w:spacing w:before="0" w:after="200"/>
              <w:rPr/>
            </w:pPr>
            <w:r>
              <w:rPr/>
              <w:t> </w:t>
            </w:r>
          </w:p>
        </w:tc>
        <w:tc>
          <w:tcPr>
            <w:tcW w:w="715" w:type="dxa"/>
            <w:tcBorders/>
            <w:vAlign w:val="center"/>
          </w:tcPr>
          <w:p>
            <w:pPr>
              <w:pStyle w:val="TableContents"/>
              <w:widowControl w:val="false"/>
              <w:suppressLineNumbers/>
              <w:spacing w:before="0" w:after="200"/>
              <w:rPr/>
            </w:pPr>
            <w:r>
              <w:rPr/>
              <w:t> </w:t>
            </w:r>
          </w:p>
        </w:tc>
        <w:tc>
          <w:tcPr>
            <w:tcW w:w="936" w:type="dxa"/>
            <w:tcBorders/>
            <w:vAlign w:val="center"/>
          </w:tcPr>
          <w:p>
            <w:pPr>
              <w:pStyle w:val="TableContents"/>
              <w:widowControl w:val="false"/>
              <w:suppressLineNumbers/>
              <w:spacing w:before="0" w:after="200"/>
              <w:rPr/>
            </w:pPr>
            <w:r>
              <w:rPr/>
              <w:t> </w:t>
            </w:r>
          </w:p>
        </w:tc>
        <w:tc>
          <w:tcPr>
            <w:tcW w:w="819" w:type="dxa"/>
            <w:tcBorders/>
            <w:vAlign w:val="center"/>
          </w:tcPr>
          <w:p>
            <w:pPr>
              <w:pStyle w:val="TableContents"/>
              <w:widowControl w:val="false"/>
              <w:suppressLineNumbers/>
              <w:spacing w:before="0" w:after="200"/>
              <w:rPr/>
            </w:pPr>
            <w:r>
              <w:rPr/>
              <w:t> </w:t>
            </w:r>
          </w:p>
        </w:tc>
        <w:tc>
          <w:tcPr>
            <w:tcW w:w="2078" w:type="dxa"/>
            <w:tcBorders/>
            <w:vAlign w:val="center"/>
          </w:tcPr>
          <w:p>
            <w:pPr>
              <w:pStyle w:val="TableContents"/>
              <w:widowControl w:val="false"/>
              <w:suppressLineNumbers/>
              <w:spacing w:before="0" w:after="200"/>
              <w:rPr/>
            </w:pPr>
            <w:r>
              <w:rPr/>
              <w:t> </w:t>
            </w:r>
          </w:p>
        </w:tc>
        <w:tc>
          <w:tcPr>
            <w:tcW w:w="1913" w:type="dxa"/>
            <w:tcBorders/>
            <w:vAlign w:val="center"/>
          </w:tcPr>
          <w:p>
            <w:pPr>
              <w:pStyle w:val="TableContents"/>
              <w:widowControl w:val="false"/>
              <w:suppressLineNumbers/>
              <w:spacing w:before="0" w:after="200"/>
              <w:rPr/>
            </w:pPr>
            <w:r>
              <w:rPr/>
              <w:t> </w:t>
            </w:r>
          </w:p>
        </w:tc>
      </w:tr>
      <w:tr>
        <w:trPr/>
        <w:tc>
          <w:tcPr>
            <w:tcW w:w="1000" w:type="dxa"/>
            <w:tcBorders/>
            <w:vAlign w:val="center"/>
          </w:tcPr>
          <w:p>
            <w:pPr>
              <w:pStyle w:val="TableContents"/>
              <w:spacing w:before="0" w:after="200"/>
              <w:jc w:val="center"/>
              <w:rPr/>
            </w:pPr>
            <w:r>
              <w:rPr/>
              <w:t>3.</w:t>
            </w:r>
          </w:p>
        </w:tc>
        <w:tc>
          <w:tcPr>
            <w:tcW w:w="941" w:type="dxa"/>
            <w:tcBorders/>
            <w:vAlign w:val="center"/>
          </w:tcPr>
          <w:p>
            <w:pPr>
              <w:pStyle w:val="TableContents"/>
              <w:widowControl w:val="false"/>
              <w:suppressLineNumbers/>
              <w:spacing w:before="0" w:after="200"/>
              <w:rPr/>
            </w:pPr>
            <w:r>
              <w:rPr/>
              <w:t> </w:t>
            </w:r>
          </w:p>
        </w:tc>
        <w:tc>
          <w:tcPr>
            <w:tcW w:w="715" w:type="dxa"/>
            <w:tcBorders/>
            <w:vAlign w:val="center"/>
          </w:tcPr>
          <w:p>
            <w:pPr>
              <w:pStyle w:val="TableContents"/>
              <w:widowControl w:val="false"/>
              <w:suppressLineNumbers/>
              <w:spacing w:before="0" w:after="200"/>
              <w:rPr/>
            </w:pPr>
            <w:r>
              <w:rPr/>
              <w:t> </w:t>
            </w:r>
          </w:p>
        </w:tc>
        <w:tc>
          <w:tcPr>
            <w:tcW w:w="936" w:type="dxa"/>
            <w:tcBorders/>
            <w:vAlign w:val="center"/>
          </w:tcPr>
          <w:p>
            <w:pPr>
              <w:pStyle w:val="TableContents"/>
              <w:widowControl w:val="false"/>
              <w:suppressLineNumbers/>
              <w:spacing w:before="0" w:after="200"/>
              <w:rPr/>
            </w:pPr>
            <w:r>
              <w:rPr/>
              <w:t> </w:t>
            </w:r>
          </w:p>
        </w:tc>
        <w:tc>
          <w:tcPr>
            <w:tcW w:w="819" w:type="dxa"/>
            <w:tcBorders/>
            <w:vAlign w:val="center"/>
          </w:tcPr>
          <w:p>
            <w:pPr>
              <w:pStyle w:val="TableContents"/>
              <w:widowControl w:val="false"/>
              <w:suppressLineNumbers/>
              <w:spacing w:before="0" w:after="200"/>
              <w:rPr/>
            </w:pPr>
            <w:r>
              <w:rPr/>
              <w:t> </w:t>
            </w:r>
          </w:p>
        </w:tc>
        <w:tc>
          <w:tcPr>
            <w:tcW w:w="2078" w:type="dxa"/>
            <w:tcBorders/>
            <w:vAlign w:val="center"/>
          </w:tcPr>
          <w:p>
            <w:pPr>
              <w:pStyle w:val="TableContents"/>
              <w:widowControl w:val="false"/>
              <w:suppressLineNumbers/>
              <w:spacing w:before="0" w:after="200"/>
              <w:rPr/>
            </w:pPr>
            <w:r>
              <w:rPr/>
              <w:t> </w:t>
            </w:r>
          </w:p>
        </w:tc>
        <w:tc>
          <w:tcPr>
            <w:tcW w:w="1913" w:type="dxa"/>
            <w:tcBorders/>
            <w:vAlign w:val="center"/>
          </w:tcPr>
          <w:p>
            <w:pPr>
              <w:pStyle w:val="TableContents"/>
              <w:widowControl w:val="false"/>
              <w:suppressLineNumbers/>
              <w:spacing w:before="0" w:after="200"/>
              <w:rPr/>
            </w:pPr>
            <w:r>
              <w:rPr/>
              <w:t> </w:t>
            </w:r>
          </w:p>
        </w:tc>
      </w:tr>
      <w:tr>
        <w:trPr/>
        <w:tc>
          <w:tcPr>
            <w:tcW w:w="1000" w:type="dxa"/>
            <w:tcBorders/>
            <w:vAlign w:val="center"/>
          </w:tcPr>
          <w:p>
            <w:pPr>
              <w:pStyle w:val="TableContents"/>
              <w:spacing w:before="0" w:after="200"/>
              <w:jc w:val="center"/>
              <w:rPr/>
            </w:pPr>
            <w:r>
              <w:rPr/>
              <w:t>Cộng</w:t>
            </w:r>
          </w:p>
        </w:tc>
        <w:tc>
          <w:tcPr>
            <w:tcW w:w="941" w:type="dxa"/>
            <w:tcBorders/>
            <w:vAlign w:val="center"/>
          </w:tcPr>
          <w:p>
            <w:pPr>
              <w:pStyle w:val="TableContents"/>
              <w:widowControl w:val="false"/>
              <w:suppressLineNumbers/>
              <w:spacing w:before="0" w:after="200"/>
              <w:rPr/>
            </w:pPr>
            <w:r>
              <w:rPr/>
              <w:t> </w:t>
            </w:r>
          </w:p>
        </w:tc>
        <w:tc>
          <w:tcPr>
            <w:tcW w:w="715" w:type="dxa"/>
            <w:tcBorders/>
            <w:vAlign w:val="center"/>
          </w:tcPr>
          <w:p>
            <w:pPr>
              <w:pStyle w:val="TableContents"/>
              <w:widowControl w:val="false"/>
              <w:suppressLineNumbers/>
              <w:spacing w:before="0" w:after="200"/>
              <w:rPr/>
            </w:pPr>
            <w:r>
              <w:rPr/>
              <w:t> </w:t>
            </w:r>
          </w:p>
        </w:tc>
        <w:tc>
          <w:tcPr>
            <w:tcW w:w="936" w:type="dxa"/>
            <w:tcBorders/>
            <w:vAlign w:val="center"/>
          </w:tcPr>
          <w:p>
            <w:pPr>
              <w:pStyle w:val="TableContents"/>
              <w:widowControl w:val="false"/>
              <w:suppressLineNumbers/>
              <w:spacing w:before="0" w:after="200"/>
              <w:rPr/>
            </w:pPr>
            <w:r>
              <w:rPr/>
              <w:t> </w:t>
            </w:r>
          </w:p>
        </w:tc>
        <w:tc>
          <w:tcPr>
            <w:tcW w:w="819" w:type="dxa"/>
            <w:tcBorders/>
            <w:vAlign w:val="center"/>
          </w:tcPr>
          <w:p>
            <w:pPr>
              <w:pStyle w:val="TableContents"/>
              <w:widowControl w:val="false"/>
              <w:suppressLineNumbers/>
              <w:spacing w:before="0" w:after="200"/>
              <w:rPr/>
            </w:pPr>
            <w:r>
              <w:rPr/>
              <w:t> </w:t>
            </w:r>
          </w:p>
        </w:tc>
        <w:tc>
          <w:tcPr>
            <w:tcW w:w="2078" w:type="dxa"/>
            <w:tcBorders/>
            <w:vAlign w:val="center"/>
          </w:tcPr>
          <w:p>
            <w:pPr>
              <w:pStyle w:val="TableContents"/>
              <w:widowControl w:val="false"/>
              <w:suppressLineNumbers/>
              <w:spacing w:before="0" w:after="200"/>
              <w:rPr/>
            </w:pPr>
            <w:r>
              <w:rPr/>
              <w:t> </w:t>
            </w:r>
          </w:p>
        </w:tc>
        <w:tc>
          <w:tcPr>
            <w:tcW w:w="1913" w:type="dxa"/>
            <w:tcBorders/>
            <w:vAlign w:val="center"/>
          </w:tcPr>
          <w:p>
            <w:pPr>
              <w:pStyle w:val="TableContents"/>
              <w:widowControl w:val="false"/>
              <w:suppressLineNumbers/>
              <w:spacing w:before="0" w:after="200"/>
              <w:rPr/>
            </w:pPr>
            <w:r>
              <w:rPr/>
              <w:t> </w:t>
            </w:r>
          </w:p>
        </w:tc>
      </w:tr>
      <w:tr>
        <w:trPr/>
        <w:tc>
          <w:tcPr>
            <w:tcW w:w="1000" w:type="dxa"/>
            <w:tcBorders/>
            <w:vAlign w:val="center"/>
          </w:tcPr>
          <w:p>
            <w:pPr>
              <w:pStyle w:val="TableContents"/>
              <w:spacing w:before="0" w:after="200"/>
              <w:jc w:val="center"/>
              <w:rPr/>
            </w:pPr>
            <w:r>
              <w:rPr>
                <w:rStyle w:val="StrongEmphasis"/>
              </w:rPr>
              <w:t>Bằng chữ</w:t>
            </w:r>
          </w:p>
        </w:tc>
        <w:tc>
          <w:tcPr>
            <w:tcW w:w="941" w:type="dxa"/>
            <w:tcBorders/>
            <w:vAlign w:val="center"/>
          </w:tcPr>
          <w:p>
            <w:pPr>
              <w:pStyle w:val="TableContents"/>
              <w:widowControl w:val="false"/>
              <w:suppressLineNumbers/>
              <w:spacing w:before="0" w:after="200"/>
              <w:rPr/>
            </w:pPr>
            <w:r>
              <w:rPr/>
              <w:t> </w:t>
            </w:r>
          </w:p>
        </w:tc>
        <w:tc>
          <w:tcPr>
            <w:tcW w:w="715" w:type="dxa"/>
            <w:tcBorders/>
            <w:vAlign w:val="center"/>
          </w:tcPr>
          <w:p>
            <w:pPr>
              <w:pStyle w:val="TableContents"/>
              <w:widowControl w:val="false"/>
              <w:suppressLineNumbers/>
              <w:spacing w:before="0" w:after="200"/>
              <w:rPr/>
            </w:pPr>
            <w:r>
              <w:rPr/>
              <w:t> </w:t>
            </w:r>
          </w:p>
        </w:tc>
        <w:tc>
          <w:tcPr>
            <w:tcW w:w="936" w:type="dxa"/>
            <w:tcBorders/>
            <w:vAlign w:val="center"/>
          </w:tcPr>
          <w:p>
            <w:pPr>
              <w:pStyle w:val="TableContents"/>
              <w:widowControl w:val="false"/>
              <w:suppressLineNumbers/>
              <w:spacing w:before="0" w:after="200"/>
              <w:rPr/>
            </w:pPr>
            <w:r>
              <w:rPr/>
              <w:t> </w:t>
            </w:r>
          </w:p>
        </w:tc>
        <w:tc>
          <w:tcPr>
            <w:tcW w:w="819" w:type="dxa"/>
            <w:tcBorders/>
            <w:vAlign w:val="center"/>
          </w:tcPr>
          <w:p>
            <w:pPr>
              <w:pStyle w:val="TableContents"/>
              <w:widowControl w:val="false"/>
              <w:suppressLineNumbers/>
              <w:spacing w:before="0" w:after="200"/>
              <w:rPr/>
            </w:pPr>
            <w:r>
              <w:rPr/>
              <w:t> </w:t>
            </w:r>
          </w:p>
        </w:tc>
        <w:tc>
          <w:tcPr>
            <w:tcW w:w="2078" w:type="dxa"/>
            <w:tcBorders/>
            <w:vAlign w:val="center"/>
          </w:tcPr>
          <w:p>
            <w:pPr>
              <w:pStyle w:val="TableContents"/>
              <w:widowControl w:val="false"/>
              <w:suppressLineNumbers/>
              <w:spacing w:before="0" w:after="200"/>
              <w:rPr/>
            </w:pPr>
            <w:r>
              <w:rPr/>
              <w:t> </w:t>
            </w:r>
          </w:p>
        </w:tc>
        <w:tc>
          <w:tcPr>
            <w:tcW w:w="1913" w:type="dxa"/>
            <w:tcBorders/>
            <w:vAlign w:val="center"/>
          </w:tcPr>
          <w:p>
            <w:pPr>
              <w:pStyle w:val="TableContents"/>
              <w:widowControl w:val="false"/>
              <w:suppressLineNumbers/>
              <w:spacing w:before="0" w:after="200"/>
              <w:rPr/>
            </w:pPr>
            <w:r>
              <w:rPr/>
              <w:t> </w:t>
            </w:r>
          </w:p>
        </w:tc>
      </w:tr>
    </w:tbl>
    <w:p>
      <w:pPr>
        <w:pStyle w:val="TextBody"/>
        <w:jc w:val="both"/>
        <w:rPr>
          <w:rFonts w:ascii="Arial" w:hAnsi="Arial" w:cs="Arial"/>
          <w:color w:val="333333"/>
        </w:rPr>
      </w:pPr>
      <w:r>
        <w:rPr>
          <w:rStyle w:val="StrongEmphasis"/>
        </w:rPr>
        <w:t>ĐIỀU 2: PHƯƠNG THỨC VÀ TIẾN ĐỘ THANH TOÁN</w:t>
      </w:r>
    </w:p>
    <w:p>
      <w:pPr>
        <w:pStyle w:val="TextBody"/>
        <w:jc w:val="both"/>
        <w:rPr>
          <w:rFonts w:ascii="Arial" w:hAnsi="Arial" w:cs="Arial"/>
          <w:color w:val="333333"/>
        </w:rPr>
      </w:pPr>
      <w:r>
        <w:rPr/>
        <w:t>1. Phương thức thanh toán: Thanh toán tiền mặt</w:t>
      </w:r>
    </w:p>
    <w:p>
      <w:pPr>
        <w:pStyle w:val="TextBody"/>
        <w:jc w:val="both"/>
        <w:rPr>
          <w:rFonts w:ascii="Arial" w:hAnsi="Arial" w:cs="Arial"/>
          <w:color w:val="333333"/>
        </w:rPr>
      </w:pPr>
      <w:r>
        <w:rPr/>
        <w:t>2. Đồng tiền thanh toán: Đồng Việt Nam</w:t>
      </w:r>
    </w:p>
    <w:p>
      <w:pPr>
        <w:pStyle w:val="TextBody"/>
        <w:jc w:val="both"/>
        <w:rPr>
          <w:rFonts w:ascii="Arial" w:hAnsi="Arial" w:cs="Arial"/>
          <w:color w:val="333333"/>
        </w:rPr>
      </w:pPr>
      <w:r>
        <w:rPr/>
        <w:t>3. Tiến độ thanh toán:</w:t>
      </w:r>
    </w:p>
    <w:p>
      <w:pPr>
        <w:pStyle w:val="TextBody"/>
        <w:jc w:val="both"/>
        <w:rPr>
          <w:rFonts w:ascii="Arial" w:hAnsi="Arial" w:cs="Arial"/>
          <w:color w:val="333333"/>
        </w:rPr>
      </w:pPr>
      <w:r>
        <w:rPr/>
        <w:t>+ Bên A sẽ tạm ứng cho Bên B 60% giá trị Hợp đồng trong vòng 07 (bảy) ngày làm việc kể từ ngày Bên A nhận được đề nghị tạm ứng của Bên B.</w:t>
      </w:r>
    </w:p>
    <w:p>
      <w:pPr>
        <w:pStyle w:val="TextBody"/>
        <w:jc w:val="both"/>
        <w:rPr>
          <w:rFonts w:ascii="Arial" w:hAnsi="Arial" w:cs="Arial"/>
          <w:color w:val="333333"/>
        </w:rPr>
      </w:pPr>
      <w:r>
        <w:rPr/>
        <w:t>+ Bên A sẽ thanh toán 40% giá trị khối lượng đợt giao hàng tương ứng cho Bên B trong vòng 20 (hai mươi) ngày làm việc kể từ ngày nhận đủ hàng hóa và hồ sơ thanh toán hợp lệ từ Bên B.</w:t>
      </w:r>
    </w:p>
    <w:p>
      <w:pPr>
        <w:pStyle w:val="TextBody"/>
        <w:jc w:val="both"/>
        <w:rPr>
          <w:rFonts w:ascii="Arial" w:hAnsi="Arial" w:cs="Arial"/>
          <w:color w:val="333333"/>
        </w:rPr>
      </w:pPr>
      <w:r>
        <w:rPr>
          <w:rStyle w:val="StrongEmphasis"/>
          <w:u w:val="single"/>
        </w:rPr>
        <w:t>Hồ sơ thanh quyết toán bao gồm:</w:t>
      </w:r>
    </w:p>
    <w:p>
      <w:pPr>
        <w:pStyle w:val="TextBody"/>
        <w:numPr>
          <w:ilvl w:val="0"/>
          <w:numId w:val="1"/>
        </w:numPr>
        <w:tabs>
          <w:tab w:val="clear" w:pos="720"/>
          <w:tab w:val="left" w:pos="0" w:leader="none"/>
        </w:tabs>
        <w:spacing w:before="0" w:after="0"/>
        <w:ind w:left="709" w:hanging="283"/>
        <w:jc w:val="both"/>
        <w:rPr>
          <w:rFonts w:ascii="Arial" w:hAnsi="Arial" w:cs="Arial"/>
          <w:color w:val="333333"/>
        </w:rPr>
      </w:pPr>
      <w:r>
        <w:rPr/>
        <w:t>Hóa đơn thông thường hợp lệ;</w:t>
      </w:r>
    </w:p>
    <w:p>
      <w:pPr>
        <w:pStyle w:val="TextBody"/>
        <w:numPr>
          <w:ilvl w:val="0"/>
          <w:numId w:val="1"/>
        </w:numPr>
        <w:tabs>
          <w:tab w:val="clear" w:pos="720"/>
          <w:tab w:val="left" w:pos="0" w:leader="none"/>
        </w:tabs>
        <w:spacing w:before="0" w:after="0"/>
        <w:ind w:left="709" w:hanging="283"/>
        <w:jc w:val="both"/>
        <w:rPr>
          <w:rFonts w:ascii="Arial" w:hAnsi="Arial" w:cs="Arial"/>
          <w:color w:val="333333"/>
        </w:rPr>
      </w:pPr>
      <w:r>
        <w:rPr/>
        <w:t>Bảng tổng hợp khối lượng và giá trị hàng hóa được giao.</w:t>
      </w:r>
    </w:p>
    <w:p>
      <w:pPr>
        <w:pStyle w:val="TextBody"/>
        <w:numPr>
          <w:ilvl w:val="0"/>
          <w:numId w:val="1"/>
        </w:numPr>
        <w:tabs>
          <w:tab w:val="clear" w:pos="720"/>
          <w:tab w:val="left" w:pos="0" w:leader="none"/>
        </w:tabs>
        <w:spacing w:before="0" w:after="0"/>
        <w:ind w:left="709" w:hanging="283"/>
        <w:jc w:val="both"/>
        <w:rPr>
          <w:rFonts w:ascii="Arial" w:hAnsi="Arial" w:cs="Arial"/>
          <w:color w:val="333333"/>
        </w:rPr>
      </w:pPr>
      <w:r>
        <w:rPr/>
        <w:t>Biên bản giao nhận hàng hóa có xác nhận của Hai bên;</w:t>
      </w:r>
    </w:p>
    <w:p>
      <w:pPr>
        <w:pStyle w:val="TextBody"/>
        <w:numPr>
          <w:ilvl w:val="0"/>
          <w:numId w:val="1"/>
        </w:numPr>
        <w:tabs>
          <w:tab w:val="clear" w:pos="720"/>
          <w:tab w:val="left" w:pos="0" w:leader="none"/>
        </w:tabs>
        <w:spacing w:before="0" w:after="0"/>
        <w:ind w:left="709" w:hanging="283"/>
        <w:jc w:val="both"/>
        <w:rPr>
          <w:rFonts w:ascii="Arial" w:hAnsi="Arial" w:cs="Arial"/>
          <w:color w:val="333333"/>
        </w:rPr>
      </w:pPr>
      <w:r>
        <w:rPr/>
        <w:t>Giấy đề nghị thanh toán của Bên B gửi cho Bên A.</w:t>
      </w:r>
    </w:p>
    <w:p>
      <w:pPr>
        <w:pStyle w:val="TextBody"/>
        <w:numPr>
          <w:ilvl w:val="0"/>
          <w:numId w:val="1"/>
        </w:numPr>
        <w:tabs>
          <w:tab w:val="clear" w:pos="720"/>
          <w:tab w:val="left" w:pos="0" w:leader="none"/>
        </w:tabs>
        <w:ind w:left="709" w:hanging="283"/>
        <w:jc w:val="both"/>
        <w:rPr>
          <w:rFonts w:ascii="Arial" w:hAnsi="Arial" w:cs="Arial"/>
          <w:color w:val="333333"/>
        </w:rPr>
      </w:pPr>
      <w:r>
        <w:rPr/>
        <w:t>Biên bản nghiệm thu chất lượng sản phẩm sau thời gian bảo hành.</w:t>
      </w:r>
    </w:p>
    <w:p>
      <w:pPr>
        <w:pStyle w:val="TextBody"/>
        <w:jc w:val="both"/>
        <w:rPr>
          <w:rFonts w:ascii="Arial" w:hAnsi="Arial" w:cs="Arial"/>
          <w:color w:val="333333"/>
        </w:rPr>
      </w:pPr>
      <w:r>
        <w:rPr>
          <w:rStyle w:val="StrongEmphasis"/>
        </w:rPr>
        <w:t>ĐIỀU 3. CHẤT LƯỢNG VÀ CÁC YÊU CẦU KỸ THUẬT</w:t>
      </w:r>
    </w:p>
    <w:p>
      <w:pPr>
        <w:pStyle w:val="TextBody"/>
        <w:jc w:val="both"/>
        <w:rPr>
          <w:rFonts w:ascii="Arial" w:hAnsi="Arial" w:cs="Arial"/>
          <w:color w:val="333333"/>
        </w:rPr>
      </w:pPr>
      <w:r>
        <w:rPr/>
        <w:t>1. Bên B cung cấp cây theo đúng thời gian yêu cầu đã được Hai bên thống nhất. Vật tư cung cấp đúng yêu cầu tại Điều 3 của Hợp đồng.</w:t>
      </w:r>
    </w:p>
    <w:p>
      <w:pPr>
        <w:pStyle w:val="TextBody"/>
        <w:jc w:val="both"/>
        <w:rPr>
          <w:rFonts w:ascii="Arial" w:hAnsi="Arial" w:cs="Arial"/>
          <w:color w:val="333333"/>
        </w:rPr>
      </w:pPr>
      <w:r>
        <w:rPr/>
        <w:t>2. Trong trường hợp cần phải thay thế bất cứ hàng hóa nào không đúng theo thỏa thuận quy định tại Điều 3 của hợp đồng thì Bên yêu cầu thay thế phải thông báo trước cho Bên kia về lý do, Bên B sẽ thay thế mặt hàng có quy cách, chất lượng, giá trị tương đương hoặc tốt hơn sản phẩm ban đầu. Mọi sự thay đổi phải được sự chấp thuận của hai bên.</w:t>
      </w:r>
    </w:p>
    <w:p>
      <w:pPr>
        <w:pStyle w:val="TextBody"/>
        <w:jc w:val="both"/>
        <w:rPr>
          <w:rFonts w:ascii="Arial" w:hAnsi="Arial" w:cs="Arial"/>
          <w:color w:val="333333"/>
        </w:rPr>
      </w:pPr>
      <w:r>
        <w:rPr>
          <w:rStyle w:val="StrongEmphasis"/>
        </w:rPr>
        <w:t>ĐIỀU 4. QUYỀN VÀ NGHĨA VỤ CỦA BÊN A</w:t>
      </w:r>
    </w:p>
    <w:p>
      <w:pPr>
        <w:pStyle w:val="TextBody"/>
        <w:numPr>
          <w:ilvl w:val="0"/>
          <w:numId w:val="2"/>
        </w:numPr>
        <w:tabs>
          <w:tab w:val="clear" w:pos="720"/>
          <w:tab w:val="left" w:pos="0" w:leader="none"/>
        </w:tabs>
        <w:spacing w:before="0" w:after="0"/>
        <w:ind w:left="709" w:hanging="283"/>
        <w:jc w:val="both"/>
        <w:rPr>
          <w:rFonts w:ascii="Arial" w:hAnsi="Arial" w:cs="Arial"/>
          <w:color w:val="333333"/>
        </w:rPr>
      </w:pPr>
      <w:r>
        <w:rPr/>
        <w:t>Hỗ trợ và tạo điều kiện thuận lợi để Bên B hoàn thành công việc đúng thời hạn;</w:t>
      </w:r>
    </w:p>
    <w:p>
      <w:pPr>
        <w:pStyle w:val="TextBody"/>
        <w:numPr>
          <w:ilvl w:val="0"/>
          <w:numId w:val="2"/>
        </w:numPr>
        <w:tabs>
          <w:tab w:val="clear" w:pos="720"/>
          <w:tab w:val="left" w:pos="0" w:leader="none"/>
        </w:tabs>
        <w:spacing w:before="0" w:after="0"/>
        <w:ind w:left="709" w:hanging="283"/>
        <w:jc w:val="both"/>
        <w:rPr>
          <w:rFonts w:ascii="Arial" w:hAnsi="Arial" w:cs="Arial"/>
          <w:color w:val="333333"/>
        </w:rPr>
      </w:pPr>
      <w:r>
        <w:rPr/>
        <w:t>Thực hiện thanh toán đầy đủ và đúng thời hạn theo quy định của Hợp đồng kinh tế;</w:t>
      </w:r>
    </w:p>
    <w:p>
      <w:pPr>
        <w:pStyle w:val="TextBody"/>
        <w:numPr>
          <w:ilvl w:val="0"/>
          <w:numId w:val="2"/>
        </w:numPr>
        <w:tabs>
          <w:tab w:val="clear" w:pos="720"/>
          <w:tab w:val="left" w:pos="0" w:leader="none"/>
        </w:tabs>
        <w:spacing w:before="0" w:after="0"/>
        <w:ind w:left="709" w:hanging="283"/>
        <w:jc w:val="both"/>
        <w:rPr>
          <w:rFonts w:ascii="Arial" w:hAnsi="Arial" w:cs="Arial"/>
          <w:color w:val="333333"/>
        </w:rPr>
      </w:pPr>
      <w:r>
        <w:rPr/>
        <w:t>Bên A có quyền từ chối nhận hàng nếu phát hiện Bên B cung cấp hàng hóa không theo đúng thỏa thuận của Hai bên tại Điều 3, bao gồm và không loại trừ việc bảo đảm số lượng, chất lượng được Hai bên thỏa thuận;</w:t>
      </w:r>
    </w:p>
    <w:p>
      <w:pPr>
        <w:pStyle w:val="TextBody"/>
        <w:numPr>
          <w:ilvl w:val="0"/>
          <w:numId w:val="2"/>
        </w:numPr>
        <w:tabs>
          <w:tab w:val="clear" w:pos="720"/>
          <w:tab w:val="left" w:pos="0" w:leader="none"/>
        </w:tabs>
        <w:spacing w:before="0" w:after="0"/>
        <w:ind w:left="709" w:hanging="283"/>
        <w:jc w:val="both"/>
        <w:rPr>
          <w:rFonts w:ascii="Arial" w:hAnsi="Arial" w:cs="Arial"/>
          <w:color w:val="333333"/>
        </w:rPr>
      </w:pPr>
      <w:r>
        <w:rPr/>
        <w:t>Cử người giám sát việc giao nhận hàng hóa, xác nhận biên bản giao hàng hóa với số lượng, khối lượng theo thực tế hàng được giao tại thời điểm giao hàng;</w:t>
      </w:r>
    </w:p>
    <w:p>
      <w:pPr>
        <w:pStyle w:val="TextBody"/>
        <w:numPr>
          <w:ilvl w:val="0"/>
          <w:numId w:val="2"/>
        </w:numPr>
        <w:tabs>
          <w:tab w:val="clear" w:pos="720"/>
          <w:tab w:val="left" w:pos="0" w:leader="none"/>
        </w:tabs>
        <w:ind w:left="709" w:hanging="283"/>
        <w:jc w:val="both"/>
        <w:rPr>
          <w:rFonts w:ascii="Arial" w:hAnsi="Arial" w:cs="Arial"/>
          <w:color w:val="333333"/>
        </w:rPr>
      </w:pPr>
      <w:r>
        <w:rPr/>
        <w:t>Thực hiện đầy đủ các trách nhiệm quy định trong Hợp đồng này và các trách nhiệm khác theo quy định của pháp luật hiện hành.</w:t>
      </w:r>
    </w:p>
    <w:p>
      <w:pPr>
        <w:pStyle w:val="TextBody"/>
        <w:jc w:val="both"/>
        <w:rPr>
          <w:rFonts w:ascii="Arial" w:hAnsi="Arial" w:cs="Arial"/>
          <w:color w:val="333333"/>
        </w:rPr>
      </w:pPr>
      <w:r>
        <w:rPr>
          <w:rStyle w:val="StrongEmphasis"/>
        </w:rPr>
        <w:t>ĐIỀU 5. QUYỀN VÀ NGHĨA VỤ CỦA BÊN B</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Cung cấp hóa đơn tài chính hợp pháp theo quy định cho Bên A;</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Không được chuyển nhượng Hợp đồng hoặc một phần Hợp đồng này cho một bên thứ ba khi chưa được sự đồng ý của Bên A;</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Có trách nhiệm lập đầy đủ các hồ sơ liên quan đến việc nghiệm thu khối lượng, bàn giao, thanh toán khi Bên A yêu cầu;</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Chịu trách nhiệm hoàn toàn và không giới hạn đối với những rủi ro xảy ra đối với hàng hóa trong quá trình vận chuyển, bốc dỡ hàng hóa cho Bên A;</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Thực hiện đầy đủ các trách nhiệm quy định trong Hợp đồng này và các trách nhiệm khác theo quy định của pháp luật hiện hành;</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Cam kết là chủ sở hữu hợp pháp của các hàng hóa nêu trên;</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Bảo đảm cho Bên A được miễn trừ mọi trách nhiệm pháp lý và đảm bảo có chức năng kinh doanh ngành nghề theo quy định pháp luật;</w:t>
      </w:r>
    </w:p>
    <w:p>
      <w:pPr>
        <w:pStyle w:val="TextBody"/>
        <w:numPr>
          <w:ilvl w:val="0"/>
          <w:numId w:val="3"/>
        </w:numPr>
        <w:tabs>
          <w:tab w:val="clear" w:pos="720"/>
          <w:tab w:val="left" w:pos="0" w:leader="none"/>
        </w:tabs>
        <w:spacing w:before="0" w:after="0"/>
        <w:ind w:left="709" w:hanging="283"/>
        <w:jc w:val="both"/>
        <w:rPr>
          <w:rFonts w:ascii="Arial" w:hAnsi="Arial" w:cs="Arial"/>
          <w:color w:val="333333"/>
        </w:rPr>
      </w:pPr>
      <w:r>
        <w:rPr/>
        <w:t>Chịu trách nhiệm hoàn toàn và không giới hạn những tai nạn lao động xảy ra trong quá trình thực hiện công việc của Bên B cho đến khi hàng hóa bàn giao cho Bên A;</w:t>
      </w:r>
    </w:p>
    <w:p>
      <w:pPr>
        <w:pStyle w:val="TextBody"/>
        <w:numPr>
          <w:ilvl w:val="0"/>
          <w:numId w:val="3"/>
        </w:numPr>
        <w:tabs>
          <w:tab w:val="clear" w:pos="720"/>
          <w:tab w:val="left" w:pos="0" w:leader="none"/>
        </w:tabs>
        <w:ind w:left="709" w:hanging="283"/>
        <w:jc w:val="both"/>
        <w:rPr>
          <w:rFonts w:ascii="Arial" w:hAnsi="Arial" w:cs="Arial"/>
          <w:color w:val="333333"/>
        </w:rPr>
      </w:pPr>
      <w:r>
        <w:rPr/>
        <w:t>Bên B cam kết cung cấp hàng hóa đáp ứng được đầy đủ các yêu cầu theo quy định tại Điều 3 của Hợp đồng. Trong quá trình bàn giao hàng hóa dưới sự xác nhận của hai bên, nếu phát hiện bên B cung cấp hàng hóa không đáp ứng được các yêu cầu về chất lượng, thì bên B sẽ có trách nhiệm thay thế bằng hàng mới 100% và phải đáp ứng được đầy đủ các yêu cầu mà không tính thêm chi phí phát sinh.</w:t>
      </w:r>
    </w:p>
    <w:p>
      <w:pPr>
        <w:pStyle w:val="TextBody"/>
        <w:jc w:val="both"/>
        <w:rPr>
          <w:rFonts w:ascii="Arial" w:hAnsi="Arial" w:cs="Arial"/>
          <w:color w:val="333333"/>
        </w:rPr>
      </w:pPr>
      <w:r>
        <w:rPr>
          <w:rStyle w:val="StrongEmphasis"/>
        </w:rPr>
        <w:t>ĐIỀU 6. BẤT KHẢ KHÁNG</w:t>
      </w:r>
    </w:p>
    <w:p>
      <w:pPr>
        <w:pStyle w:val="TextBody"/>
        <w:jc w:val="both"/>
        <w:rPr>
          <w:rFonts w:ascii="Arial" w:hAnsi="Arial" w:cs="Arial"/>
          <w:color w:val="333333"/>
        </w:rPr>
      </w:pPr>
      <w:r>
        <w:rPr/>
        <w:t>Khi có sự cố xảy ra, bên bị ảnh hưởng bởi sự kiện bất khả kháng cũng phải có nghĩa vụ thông báo cho bên kia về sự kiện bất khả kháng xảy ra trong vòng 07 (bảy) ngày kể từ ngày xảy ra sự kiện bất khả kháng. Sự kiện bất khả kháng là sự kiện xảy ra mang tính khách quan và nằm ngoài tầm kiểm soát của các bên như động đất, bão, lũ lụt, lốc, sóng thần, lở đất, hỏa hoạn, chiến tranh hoặc có nguy cơ xảy ra chiến tranh,… và các thảm họa khác chưa lường hết được, sự thay đổi chính sách hoặc ngăn cấm của cơ quan có thẩm quyền của Việt Nam.</w:t>
      </w:r>
    </w:p>
    <w:p>
      <w:pPr>
        <w:pStyle w:val="TextBody"/>
        <w:jc w:val="both"/>
        <w:rPr>
          <w:rFonts w:ascii="Arial" w:hAnsi="Arial" w:cs="Arial"/>
          <w:color w:val="333333"/>
        </w:rPr>
      </w:pPr>
      <w:r>
        <w:rPr>
          <w:rStyle w:val="StrongEmphasis"/>
        </w:rPr>
        <w:t>ĐIỀU 7. VI PHẠM VÀ XỬ LÝ VI PHẠM</w:t>
      </w:r>
    </w:p>
    <w:p>
      <w:pPr>
        <w:pStyle w:val="TextBody"/>
        <w:jc w:val="both"/>
        <w:rPr>
          <w:rFonts w:ascii="Arial" w:hAnsi="Arial" w:cs="Arial"/>
          <w:color w:val="333333"/>
        </w:rPr>
      </w:pPr>
      <w:r>
        <w:rPr/>
        <w:t>1. Trường hợp Bên A quá hạn thanh toán theo quy định tại Khoản 4.3 Điều 4 của Hợp đồng kinh tế thì Bên A phải chịu thêm lãi suất tính theo mức lãi suất cho vay có kỳ hạn 12 tháng của Ngân hàng TMCP Đầu tư và Phát triển Việt Nam (BIDV) quy định tại thời điểm chậm thanh toán, tính trên số tiền và thời gian chậm thanh toán.</w:t>
      </w:r>
    </w:p>
    <w:p>
      <w:pPr>
        <w:pStyle w:val="TextBody"/>
        <w:jc w:val="both"/>
        <w:rPr>
          <w:rFonts w:ascii="Arial" w:hAnsi="Arial" w:cs="Arial"/>
          <w:color w:val="333333"/>
        </w:rPr>
      </w:pPr>
      <w:r>
        <w:rPr/>
        <w:t>2. Nếu Bên B chậm giao hàng so với tiến độ nêu tại khoản 2.1 Điều 2 thì Bên B phải chịu phạt với số tiền tương ứng 0,2% (không phẩy hai phần trăm) giá trị Hợp đồng tính trên 01 (một) ngày chậm trễ giao hàng.</w:t>
      </w:r>
    </w:p>
    <w:p>
      <w:pPr>
        <w:pStyle w:val="TextBody"/>
        <w:jc w:val="both"/>
        <w:rPr>
          <w:rFonts w:ascii="Arial" w:hAnsi="Arial" w:cs="Arial"/>
          <w:color w:val="333333"/>
        </w:rPr>
      </w:pPr>
      <w:r>
        <w:rPr>
          <w:rStyle w:val="StrongEmphasis"/>
        </w:rPr>
        <w:t>ĐIỀU 8. ĐIỀU KHOẢN CHUNG</w:t>
      </w:r>
    </w:p>
    <w:p>
      <w:pPr>
        <w:pStyle w:val="TextBody"/>
        <w:numPr>
          <w:ilvl w:val="0"/>
          <w:numId w:val="4"/>
        </w:numPr>
        <w:tabs>
          <w:tab w:val="clear" w:pos="720"/>
          <w:tab w:val="left" w:pos="0" w:leader="none"/>
        </w:tabs>
        <w:spacing w:before="0" w:after="0"/>
        <w:ind w:left="709" w:hanging="283"/>
        <w:jc w:val="both"/>
        <w:rPr>
          <w:rFonts w:ascii="Arial" w:hAnsi="Arial" w:cs="Arial"/>
          <w:color w:val="333333"/>
        </w:rPr>
      </w:pPr>
      <w:r>
        <w:rPr/>
        <w:t>Khi hai bên đã thực hiện đầy đủ các điều khoản quy định trong hợp đồng thì hợp đồng này mặc nhiên được thanh lý.</w:t>
      </w:r>
    </w:p>
    <w:p>
      <w:pPr>
        <w:pStyle w:val="TextBody"/>
        <w:numPr>
          <w:ilvl w:val="0"/>
          <w:numId w:val="4"/>
        </w:numPr>
        <w:tabs>
          <w:tab w:val="clear" w:pos="720"/>
          <w:tab w:val="left" w:pos="0" w:leader="none"/>
        </w:tabs>
        <w:spacing w:before="0" w:after="0"/>
        <w:ind w:left="709" w:hanging="283"/>
        <w:jc w:val="both"/>
        <w:rPr>
          <w:rFonts w:ascii="Arial" w:hAnsi="Arial" w:cs="Arial"/>
          <w:color w:val="333333"/>
        </w:rPr>
      </w:pPr>
      <w:r>
        <w:rPr/>
        <w:t>Các Bên, đại diện của các Bên cam kết thực hiện nghiêm chỉnh các nội dung, điều khoản đã thỏa thuận trong Hợp đồng; không Bên nào được đơn phương sửa đổi nội dung Hợp đồng. Mọi bổ sung, sửa đổi các điều khoản của Hợp đồng phải được Hai bên thống nhất bằng văn bản hoặc Phụ lục Hợp đồng.</w:t>
      </w:r>
    </w:p>
    <w:p>
      <w:pPr>
        <w:pStyle w:val="TextBody"/>
        <w:numPr>
          <w:ilvl w:val="0"/>
          <w:numId w:val="4"/>
        </w:numPr>
        <w:tabs>
          <w:tab w:val="clear" w:pos="720"/>
          <w:tab w:val="left" w:pos="0" w:leader="none"/>
        </w:tabs>
        <w:spacing w:before="0" w:after="0"/>
        <w:ind w:left="709" w:hanging="283"/>
        <w:jc w:val="both"/>
        <w:rPr>
          <w:rFonts w:ascii="Arial" w:hAnsi="Arial" w:cs="Arial"/>
          <w:color w:val="333333"/>
        </w:rPr>
      </w:pPr>
      <w:r>
        <w:rPr/>
        <w:t>Hợp đồng có hiệu lực từ ngày ký và được lập thành 02 (hai) bản, Bên A giữ 01 (một) bản, Bên B giữ 01 (một) bản có giá trị pháp lý như nhau.</w:t>
      </w:r>
    </w:p>
    <w:p>
      <w:pPr>
        <w:pStyle w:val="TextBody"/>
        <w:numPr>
          <w:ilvl w:val="0"/>
          <w:numId w:val="4"/>
        </w:numPr>
        <w:tabs>
          <w:tab w:val="clear" w:pos="720"/>
          <w:tab w:val="left" w:pos="0" w:leader="none"/>
        </w:tabs>
        <w:spacing w:before="0" w:after="0"/>
        <w:ind w:left="709" w:hanging="283"/>
        <w:jc w:val="both"/>
        <w:rPr>
          <w:rFonts w:ascii="Arial" w:hAnsi="Arial" w:cs="Arial"/>
          <w:color w:val="333333"/>
        </w:rPr>
      </w:pPr>
      <w:r>
        <w:rPr/>
        <w:t>Đồng thời trong thời gian tranh chấp đang được giải quyết thì Các bên phải tiếp tục thực hiện nghĩa vụ của mình theo Hợp đồng này – ngoại trừ vấn đề đang tranh chấp.</w:t>
      </w:r>
    </w:p>
    <w:p>
      <w:pPr>
        <w:pStyle w:val="TextBody"/>
        <w:numPr>
          <w:ilvl w:val="0"/>
          <w:numId w:val="4"/>
        </w:numPr>
        <w:tabs>
          <w:tab w:val="clear" w:pos="720"/>
          <w:tab w:val="left" w:pos="0" w:leader="none"/>
        </w:tabs>
        <w:ind w:left="709" w:hanging="283"/>
        <w:jc w:val="both"/>
        <w:rPr>
          <w:rFonts w:ascii="Arial" w:hAnsi="Arial" w:cs="Arial"/>
          <w:color w:val="333333"/>
        </w:rPr>
      </w:pPr>
      <w:r>
        <w:rPr/>
        <w:t>Nếu trong quá trình thực hiện Hợp đồng có khó khăn, trở ngại thì Hai bên bàn bạc giải quyết trên tinh thần hợp tác và tôn trọng. Trong thời hạn 30 (ba mươi) ngày kể từ ngày phát sinh tranh chấp, nếu Hai bên không đạt được thỏa thuận thì Hai bên thống nhất đưa vụ việc ra Tòa án nhân dân có thẩm quyền giải quyết.</w:t>
      </w:r>
    </w:p>
    <w:tbl>
      <w:tblPr>
        <w:tblW w:w="6102" w:type="dxa"/>
        <w:jc w:val="left"/>
        <w:tblInd w:w="28" w:type="dxa"/>
        <w:tblLayout w:type="fixed"/>
        <w:tblCellMar>
          <w:top w:w="28" w:type="dxa"/>
          <w:left w:w="28" w:type="dxa"/>
          <w:bottom w:w="28" w:type="dxa"/>
          <w:right w:w="28" w:type="dxa"/>
        </w:tblCellMar>
      </w:tblPr>
      <w:tblGrid>
        <w:gridCol w:w="3036"/>
        <w:gridCol w:w="3066"/>
      </w:tblGrid>
      <w:tr>
        <w:trPr/>
        <w:tc>
          <w:tcPr>
            <w:tcW w:w="3036" w:type="dxa"/>
            <w:tcBorders/>
            <w:vAlign w:val="center"/>
          </w:tcPr>
          <w:p>
            <w:pPr>
              <w:pStyle w:val="TableContents"/>
              <w:spacing w:before="0" w:after="200"/>
              <w:jc w:val="center"/>
              <w:rPr/>
            </w:pPr>
            <w:r>
              <w:rPr>
                <w:rStyle w:val="StrongEmphasis"/>
              </w:rPr>
              <w:t>ĐẠI DIỆN BÊN A</w:t>
            </w:r>
          </w:p>
        </w:tc>
        <w:tc>
          <w:tcPr>
            <w:tcW w:w="3066" w:type="dxa"/>
            <w:tcBorders/>
            <w:vAlign w:val="center"/>
          </w:tcPr>
          <w:p>
            <w:pPr>
              <w:pStyle w:val="TableContents"/>
              <w:spacing w:before="0" w:after="200"/>
              <w:jc w:val="center"/>
              <w:rPr/>
            </w:pPr>
            <w:r>
              <w:rPr>
                <w:rStyle w:val="StrongEmphasis"/>
              </w:rPr>
              <w:t>ĐẠI DIỆN BÊN B</w:t>
            </w:r>
          </w:p>
        </w:tc>
      </w:tr>
      <w:tr>
        <w:trPr/>
        <w:tc>
          <w:tcPr>
            <w:tcW w:w="3036" w:type="dxa"/>
            <w:tcBorders/>
            <w:vAlign w:val="center"/>
          </w:tcPr>
          <w:p>
            <w:pPr>
              <w:pStyle w:val="TableContents"/>
              <w:spacing w:before="0" w:after="200"/>
              <w:jc w:val="center"/>
              <w:rPr/>
            </w:pPr>
            <w:r>
              <w:rPr/>
              <w:t>(Ký, họ tên và đóng dấu (nếu có)</w:t>
            </w:r>
          </w:p>
        </w:tc>
        <w:tc>
          <w:tcPr>
            <w:tcW w:w="3066" w:type="dxa"/>
            <w:tcBorders/>
            <w:vAlign w:val="center"/>
          </w:tcPr>
          <w:p>
            <w:pPr>
              <w:pStyle w:val="TableContents"/>
              <w:spacing w:before="0" w:after="200"/>
              <w:jc w:val="center"/>
              <w:rPr/>
            </w:pPr>
            <w:r>
              <w:rPr/>
              <w:t>(Ký, họ tên và đóng dấu (nếu có)</w:t>
            </w:r>
          </w:p>
        </w:tc>
      </w:tr>
    </w:tbl>
    <w:p>
      <w:pPr>
        <w:pStyle w:val="TextBody"/>
        <w:spacing w:lineRule="atLeast" w:line="345" w:before="0" w:afterAutospacing="0" w:after="90"/>
        <w:jc w:val="center"/>
        <w:rPr>
          <w:rFonts w:ascii="Arial" w:hAnsi="Arial" w:cs="Arial"/>
          <w:color w:val="333333"/>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
        <w:color w:val="FF0000"/>
        <w:sz w:val="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color w:val="0000FF"/>
        <w:u w:val="sing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44e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2">
    <w:name w:val="Heading 2"/>
    <w:basedOn w:val="Normal"/>
    <w:link w:val="Heading2Char"/>
    <w:uiPriority w:val="9"/>
    <w:qFormat/>
    <w:locked/>
    <w:rsid w:val="00925097"/>
    <w:pPr>
      <w:spacing w:lineRule="auto" w:line="240"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446ea"/>
    <w:rPr>
      <w:rFonts w:cs="Times New Roman"/>
      <w:b/>
      <w:bCs/>
    </w:rPr>
  </w:style>
  <w:style w:type="character" w:styleId="InternetLink">
    <w:name w:val="Hyperlink"/>
    <w:basedOn w:val="DefaultParagraphFont"/>
    <w:uiPriority w:val="99"/>
    <w:rsid w:val="007446ea"/>
    <w:rPr>
      <w:rFonts w:cs="Times New Roman"/>
      <w:color w:val="0000FF"/>
      <w:u w:val="single"/>
    </w:rPr>
  </w:style>
  <w:style w:type="character" w:styleId="HeaderChar" w:customStyle="1">
    <w:name w:val="Header Char"/>
    <w:basedOn w:val="DefaultParagraphFont"/>
    <w:link w:val="Header"/>
    <w:uiPriority w:val="99"/>
    <w:qFormat/>
    <w:locked/>
    <w:rsid w:val="007446ea"/>
    <w:rPr>
      <w:rFonts w:cs="Times New Roman"/>
    </w:rPr>
  </w:style>
  <w:style w:type="character" w:styleId="FooterChar" w:customStyle="1">
    <w:name w:val="Footer Char"/>
    <w:basedOn w:val="DefaultParagraphFont"/>
    <w:link w:val="Footer"/>
    <w:uiPriority w:val="99"/>
    <w:qFormat/>
    <w:locked/>
    <w:rsid w:val="007446ea"/>
    <w:rPr>
      <w:rFonts w:cs="Times New Roman"/>
    </w:rPr>
  </w:style>
  <w:style w:type="character" w:styleId="BalloonTextChar" w:customStyle="1">
    <w:name w:val="Balloon Text Char"/>
    <w:basedOn w:val="DefaultParagraphFont"/>
    <w:link w:val="BalloonText"/>
    <w:uiPriority w:val="99"/>
    <w:semiHidden/>
    <w:qFormat/>
    <w:locked/>
    <w:rsid w:val="007446ea"/>
    <w:rPr>
      <w:rFonts w:ascii="Tahoma" w:hAnsi="Tahoma" w:cs="Tahoma"/>
      <w:sz w:val="16"/>
      <w:szCs w:val="16"/>
    </w:rPr>
  </w:style>
  <w:style w:type="character" w:styleId="Emphasis">
    <w:name w:val="Emphasis"/>
    <w:basedOn w:val="DefaultParagraphFont"/>
    <w:uiPriority w:val="20"/>
    <w:qFormat/>
    <w:locked/>
    <w:rsid w:val="00f0551e"/>
    <w:rPr>
      <w:i/>
      <w:iCs/>
    </w:rPr>
  </w:style>
  <w:style w:type="character" w:styleId="Heading2Char" w:customStyle="1">
    <w:name w:val="Heading 2 Char"/>
    <w:basedOn w:val="DefaultParagraphFont"/>
    <w:link w:val="Heading2"/>
    <w:uiPriority w:val="9"/>
    <w:qFormat/>
    <w:rsid w:val="00925097"/>
    <w:rPr>
      <w:rFonts w:ascii="Times New Roman" w:hAnsi="Times New Roman"/>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qFormat/>
    <w:rsid w:val="007446ea"/>
    <w:pPr>
      <w:spacing w:lineRule="auto" w:line="240" w:beforeAutospacing="1" w:afterAutospacing="1"/>
    </w:pPr>
    <w:rPr>
      <w:rFonts w:ascii="Times New Roman" w:hAnsi="Times New Roman" w:eastAsia="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rsid w:val="007446e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7446e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qFormat/>
    <w:rsid w:val="007446ea"/>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446e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LibreOffice/7.3.3.2$Windows_X86_64 LibreOffice_project/d1d0ea68f081ee2800a922cac8f79445e4603348</Application>
  <AppVersion>15.0000</AppVersion>
  <Pages>4</Pages>
  <Words>1455</Words>
  <Characters>5834</Characters>
  <CharactersWithSpaces>7220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2015-09-21T17:28:00Z</dcterms:created>
  <dc:creator>pico</dc:creator>
  <dc:description/>
  <dc:language>en-US</dc:language>
  <cp:lastModifiedBy/>
  <dcterms:modified xsi:type="dcterms:W3CDTF">2024-02-06T09:16:01Z</dcterms:modified>
  <cp:revision>16</cp:revision>
  <dc:subject/>
  <dc:title>CỘNG HÒA XÃ HỘI CHỦ NGHĨA VIỆT NAM</dc:title>
</cp:coreProperties>
</file>

<file path=docProps/custom.xml><?xml version="1.0" encoding="utf-8"?>
<Properties xmlns="http://schemas.openxmlformats.org/officeDocument/2006/custom-properties" xmlns:vt="http://schemas.openxmlformats.org/officeDocument/2006/docPropsVTypes"/>
</file>